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Pr="003F68E2" w:rsidRDefault="003F68E2">
      <w:pPr>
        <w:rPr>
          <w:rFonts w:ascii="Times New Roman" w:hAnsi="Times New Roman" w:cs="Times New Roman"/>
          <w:b/>
          <w:sz w:val="28"/>
          <w:szCs w:val="28"/>
        </w:rPr>
      </w:pPr>
      <w:r w:rsidRPr="003F68E2">
        <w:rPr>
          <w:rFonts w:ascii="Times New Roman" w:hAnsi="Times New Roman" w:cs="Times New Roman"/>
          <w:b/>
          <w:sz w:val="28"/>
          <w:szCs w:val="28"/>
        </w:rPr>
        <w:t>Результаты современного профессионального образования как предмет оценки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>Содержание и формы оценивания напрямую зависят от того, что мы хотим оценить, каков предмет оценки, который, в свою очередь, задается образовательными целями (ведь цель не что иное, как идеальный образ результата).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 xml:space="preserve">О зависимости оценивания от четкого понимания и формулирования результатов, к которым ведет образовательная программа, пишет Дж.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Биггс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>. Он утверждает, что «</w:t>
      </w:r>
      <w:r w:rsidRPr="00121ECB">
        <w:rPr>
          <w:rFonts w:ascii="Times New Roman" w:hAnsi="Times New Roman" w:cs="Times New Roman"/>
          <w:i/>
          <w:sz w:val="28"/>
          <w:szCs w:val="28"/>
        </w:rPr>
        <w:t xml:space="preserve">студенты изучают то, что, по их мнению, будет оцениваться. </w:t>
      </w:r>
      <w:r w:rsidRPr="003F68E2">
        <w:rPr>
          <w:rFonts w:ascii="Times New Roman" w:hAnsi="Times New Roman" w:cs="Times New Roman"/>
          <w:sz w:val="28"/>
          <w:szCs w:val="28"/>
        </w:rPr>
        <w:t>Это — </w:t>
      </w:r>
      <w:r w:rsidRPr="003F68E2">
        <w:rPr>
          <w:rFonts w:ascii="Times New Roman" w:hAnsi="Times New Roman" w:cs="Times New Roman"/>
          <w:i/>
          <w:iCs/>
          <w:sz w:val="28"/>
          <w:szCs w:val="28"/>
        </w:rPr>
        <w:t>обратная волна</w:t>
      </w:r>
      <w:r w:rsidRPr="003F68E2">
        <w:rPr>
          <w:rFonts w:ascii="Times New Roman" w:hAnsi="Times New Roman" w:cs="Times New Roman"/>
          <w:sz w:val="28"/>
          <w:szCs w:val="28"/>
        </w:rPr>
        <w:t>, когда оценка определяет, что и как студенты изучают, в большей степени.</w:t>
      </w:r>
      <w:r w:rsidRPr="003F68E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F68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>«</w:t>
      </w:r>
      <w:r w:rsidRPr="00121ECB">
        <w:rPr>
          <w:rFonts w:ascii="Times New Roman" w:hAnsi="Times New Roman" w:cs="Times New Roman"/>
          <w:i/>
          <w:sz w:val="28"/>
          <w:szCs w:val="28"/>
        </w:rPr>
        <w:t>Если не удается предотвратить обратную волну, оседлай ее,</w:t>
      </w:r>
      <w:r w:rsidRPr="003F68E2">
        <w:rPr>
          <w:rFonts w:ascii="Times New Roman" w:hAnsi="Times New Roman" w:cs="Times New Roman"/>
          <w:sz w:val="28"/>
          <w:szCs w:val="28"/>
        </w:rPr>
        <w:t xml:space="preserve"> — предлагает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Биггс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>. — Студенты всегда стараются предугадать оценочные задания и изучать то, что, по их мнению, отвечает этим заданиям. Студенты изучают то, что они и должны изучать». Идея «обратной волны» получила подтверждение во множестве независимых исследований (рис. 3.1).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B104E" wp14:editId="7E5D6244">
            <wp:extent cx="6440805" cy="1967865"/>
            <wp:effectExtent l="0" t="0" r="0" b="0"/>
            <wp:docPr id="1" name="Рисунок 1" descr="«Обратная волна Дж. Биггса» (изображена пунктирной стрелк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Обратная волна Дж. Биггса» (изображена пунктирной стрелкой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i/>
          <w:iCs/>
          <w:sz w:val="28"/>
          <w:szCs w:val="28"/>
        </w:rPr>
        <w:t>Рис. 3.1.</w:t>
      </w:r>
      <w:r w:rsidRPr="003F68E2">
        <w:rPr>
          <w:rFonts w:ascii="Times New Roman" w:hAnsi="Times New Roman" w:cs="Times New Roman"/>
          <w:sz w:val="28"/>
          <w:szCs w:val="28"/>
        </w:rPr>
        <w:t> </w:t>
      </w:r>
      <w:r w:rsidRPr="003F68E2">
        <w:rPr>
          <w:rFonts w:ascii="Times New Roman" w:hAnsi="Times New Roman" w:cs="Times New Roman"/>
          <w:b/>
          <w:bCs/>
          <w:sz w:val="28"/>
          <w:szCs w:val="28"/>
        </w:rPr>
        <w:t xml:space="preserve">«Обратная волна Дж. </w:t>
      </w:r>
      <w:proofErr w:type="spellStart"/>
      <w:r w:rsidRPr="003F68E2">
        <w:rPr>
          <w:rFonts w:ascii="Times New Roman" w:hAnsi="Times New Roman" w:cs="Times New Roman"/>
          <w:b/>
          <w:bCs/>
          <w:sz w:val="28"/>
          <w:szCs w:val="28"/>
        </w:rPr>
        <w:t>Биггса</w:t>
      </w:r>
      <w:proofErr w:type="spellEnd"/>
      <w:r w:rsidRPr="003F68E2">
        <w:rPr>
          <w:rFonts w:ascii="Times New Roman" w:hAnsi="Times New Roman" w:cs="Times New Roman"/>
          <w:b/>
          <w:bCs/>
          <w:sz w:val="28"/>
          <w:szCs w:val="28"/>
        </w:rPr>
        <w:t>» (изображена пунктирной стрелкой)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>Центральное место в учебном процессе должны занимать </w:t>
      </w:r>
      <w:r w:rsidRPr="003F68E2">
        <w:rPr>
          <w:rFonts w:ascii="Times New Roman" w:hAnsi="Times New Roman" w:cs="Times New Roman"/>
          <w:i/>
          <w:iCs/>
          <w:sz w:val="28"/>
          <w:szCs w:val="28"/>
        </w:rPr>
        <w:t>ожидаемые результаты обучения</w:t>
      </w:r>
      <w:r w:rsidRPr="003F68E2">
        <w:rPr>
          <w:rFonts w:ascii="Times New Roman" w:hAnsi="Times New Roman" w:cs="Times New Roman"/>
          <w:sz w:val="28"/>
          <w:szCs w:val="28"/>
        </w:rPr>
        <w:t xml:space="preserve">, которые определяют деятельность по их достижению и оцениванию. До недавнего времени приоритетным результатом освоения образовательных программ любого уровня и вида были знания, умения и навыки. Представления о хорошем образовании определялись широтой и </w:t>
      </w:r>
      <w:proofErr w:type="gramStart"/>
      <w:r w:rsidRPr="003F68E2">
        <w:rPr>
          <w:rFonts w:ascii="Times New Roman" w:hAnsi="Times New Roman" w:cs="Times New Roman"/>
          <w:sz w:val="28"/>
          <w:szCs w:val="28"/>
        </w:rPr>
        <w:t>разнообразием предоставляемой теоретической информации</w:t>
      </w:r>
      <w:proofErr w:type="gramEnd"/>
      <w:r w:rsidRPr="003F68E2">
        <w:rPr>
          <w:rFonts w:ascii="Times New Roman" w:hAnsi="Times New Roman" w:cs="Times New Roman"/>
          <w:sz w:val="28"/>
          <w:szCs w:val="28"/>
        </w:rPr>
        <w:t xml:space="preserve"> и способностью обучающихся эту информацию запомнить и воспроизвести.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 xml:space="preserve">За последние десятилетия произошел переворот в понимании роли, сущности, ценности, результатов образования в целом и профессионального образования в частности. С утверждением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 xml:space="preserve"> подхода сформировался новый взгляд на качественное образование. Современный </w:t>
      </w:r>
      <w:r w:rsidRPr="003F68E2">
        <w:rPr>
          <w:rFonts w:ascii="Times New Roman" w:hAnsi="Times New Roman" w:cs="Times New Roman"/>
          <w:sz w:val="28"/>
          <w:szCs w:val="28"/>
        </w:rPr>
        <w:lastRenderedPageBreak/>
        <w:t>выпускник — уже не только и не столько человек знающий, сколько человек компетентный, готовый уверенно действовать в нестандартных ситуациях, совершая ответственный выбор.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 xml:space="preserve">Результаты освоения профессиональных образовательных программ характеризуют и образованность выпускника, и его готовность к решению профессиональных задач. Соответственно, процедуры оценивания должны позволять </w:t>
      </w:r>
      <w:proofErr w:type="gramStart"/>
      <w:r w:rsidRPr="003F68E2">
        <w:rPr>
          <w:rFonts w:ascii="Times New Roman" w:hAnsi="Times New Roman" w:cs="Times New Roman"/>
          <w:sz w:val="28"/>
          <w:szCs w:val="28"/>
        </w:rPr>
        <w:t>установить</w:t>
      </w:r>
      <w:proofErr w:type="gramEnd"/>
      <w:r w:rsidRPr="003F68E2">
        <w:rPr>
          <w:rFonts w:ascii="Times New Roman" w:hAnsi="Times New Roman" w:cs="Times New Roman"/>
          <w:sz w:val="28"/>
          <w:szCs w:val="28"/>
        </w:rPr>
        <w:t xml:space="preserve"> как образовательный уровень, так и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 xml:space="preserve"> компетенций, обеспечивающих успешную профессиональную деятельность. Для разделения предметов оценки часто используют понятия «результаты обучения» (знания, умения, навыки, общие компетенции) и «квалификация» (профессиональные компетенции). При этом результаты обучения оцениваются на промежуточных этапах освоения профессиональных образовательных программ, в то время как оценивание профессиональных компетенций как части квалификации предполагает итоговый характер.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>В текстах образовательных стандартов также указывается на разные </w:t>
      </w:r>
      <w:r w:rsidRPr="003F68E2">
        <w:rPr>
          <w:rFonts w:ascii="Times New Roman" w:hAnsi="Times New Roman" w:cs="Times New Roman"/>
          <w:b/>
          <w:bCs/>
          <w:sz w:val="28"/>
          <w:szCs w:val="28"/>
        </w:rPr>
        <w:t>цели современных оценочных процедур: </w:t>
      </w:r>
      <w:r w:rsidRPr="003F68E2">
        <w:rPr>
          <w:rFonts w:ascii="Times New Roman" w:hAnsi="Times New Roman" w:cs="Times New Roman"/>
          <w:sz w:val="28"/>
          <w:szCs w:val="28"/>
        </w:rPr>
        <w:t xml:space="preserve">оценку уровня освоения дисциплин (результаты обучения); оценку </w:t>
      </w:r>
      <w:proofErr w:type="gramStart"/>
      <w:r w:rsidRPr="003F68E2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3F68E2">
        <w:rPr>
          <w:rFonts w:ascii="Times New Roman" w:hAnsi="Times New Roman" w:cs="Times New Roman"/>
          <w:sz w:val="28"/>
          <w:szCs w:val="28"/>
        </w:rPr>
        <w:t xml:space="preserve"> обучающихся (квалификация). Результаты обучения ориентированы преимущественно на диагностику качества знаний и умений студента, освоение им теоретического материала, профессионально значимой информации по отдельной дисциплине. Однако прочные знания и умения по отдельным дисциплинам в практической деятельности позволяют решать лишь относительно простые задачи.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b/>
          <w:iCs/>
          <w:sz w:val="28"/>
          <w:szCs w:val="28"/>
        </w:rPr>
        <w:t>Дисциплинарный этап</w:t>
      </w:r>
      <w:r w:rsidRPr="003F68E2">
        <w:rPr>
          <w:rFonts w:ascii="Times New Roman" w:hAnsi="Times New Roman" w:cs="Times New Roman"/>
          <w:sz w:val="28"/>
          <w:szCs w:val="28"/>
        </w:rPr>
        <w:t> контроля можно назвать подготовительным, «допусковым» по отношению к оценке компетенций, которая требует создания условий для более сложных мыслительных и практических действий, связанных с процедурами применения, анализа, синтеза умений и знаний, управления нетиповой ситуацией. Если мы хотим проверить то, как человек действует, какие поведенческие схемы выбирает для решения профессиональных задач, то должны обеспечить погружение в деятельность. При этом даже виды работ, действия, выполняемые в ходе практики, не всегда достаточны для проверки компетенций, так как чаще всего обучающийся выполняет задание в «щадящих» условиях, без установления ограничений, обычно сопровождающих профессиональную деятельность (например, время и точность выполнения действия, скорость операции и др.).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>Оценивание компетенций имеет ряд особенностей: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 xml:space="preserve">1. </w:t>
      </w:r>
      <w:r w:rsidRPr="003F68E2">
        <w:rPr>
          <w:rFonts w:ascii="Times New Roman" w:hAnsi="Times New Roman" w:cs="Times New Roman"/>
          <w:i/>
          <w:sz w:val="28"/>
          <w:szCs w:val="28"/>
        </w:rPr>
        <w:t xml:space="preserve">Контекстный характер оценивания. </w:t>
      </w:r>
      <w:r w:rsidRPr="003F68E2">
        <w:rPr>
          <w:rFonts w:ascii="Times New Roman" w:hAnsi="Times New Roman" w:cs="Times New Roman"/>
          <w:sz w:val="28"/>
          <w:szCs w:val="28"/>
        </w:rPr>
        <w:t xml:space="preserve">Главное условие – связь содержания и формы оценивания с содержанием и формами профессиональной деятельности. 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F68E2">
        <w:rPr>
          <w:rFonts w:ascii="Times New Roman" w:hAnsi="Times New Roman" w:cs="Times New Roman"/>
          <w:i/>
          <w:sz w:val="28"/>
          <w:szCs w:val="28"/>
        </w:rPr>
        <w:t>Интегративный характер оценивания</w:t>
      </w:r>
      <w:r w:rsidRPr="003F68E2">
        <w:rPr>
          <w:rFonts w:ascii="Times New Roman" w:hAnsi="Times New Roman" w:cs="Times New Roman"/>
          <w:sz w:val="28"/>
          <w:szCs w:val="28"/>
        </w:rPr>
        <w:t xml:space="preserve">. Сумма результатов оценивания знаний, умений и навыков не дает возможности судить о готовности их применять в профессиональной деятельности. Важно обеспечить проверку готовности применять знания и умения в условиях профессиональной деятельности, а также оценить профессионально значимые личностные качества, ценностные ориентации обучающегося, повышающие качество результатов труда,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 xml:space="preserve"> все то, что на языке требований к результатам освоения образовательных программ называют общими компетенциями. 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i/>
          <w:sz w:val="28"/>
          <w:szCs w:val="28"/>
        </w:rPr>
        <w:t>Общие компетенции</w:t>
      </w:r>
      <w:r w:rsidRPr="003F68E2">
        <w:rPr>
          <w:rFonts w:ascii="Times New Roman" w:hAnsi="Times New Roman" w:cs="Times New Roman"/>
          <w:sz w:val="28"/>
          <w:szCs w:val="28"/>
        </w:rPr>
        <w:t xml:space="preserve"> – один из наиболее сложных и спорных предметов оценки. Они не локализованы в каком-то компоненте образовательной программы, а рассредоточены по всем дисциплинам, курсам, профессиональным модулям. С одной стороны, есть необходимость их перманентного, поэтапного, самостоятельного оценивания, но, с другой, - оптимальный способ – оценивать их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 xml:space="preserve"> с профессиональными </w:t>
      </w:r>
      <w:proofErr w:type="spellStart"/>
      <w:r w:rsidRPr="003F68E2">
        <w:rPr>
          <w:rFonts w:ascii="Times New Roman" w:hAnsi="Times New Roman" w:cs="Times New Roman"/>
          <w:sz w:val="28"/>
          <w:szCs w:val="28"/>
        </w:rPr>
        <w:t>комптенциями</w:t>
      </w:r>
      <w:proofErr w:type="spellEnd"/>
      <w:r w:rsidRPr="003F68E2">
        <w:rPr>
          <w:rFonts w:ascii="Times New Roman" w:hAnsi="Times New Roman" w:cs="Times New Roman"/>
          <w:sz w:val="28"/>
          <w:szCs w:val="28"/>
        </w:rPr>
        <w:t xml:space="preserve">, через качество решения профессиональных задач, поскольку общие компетенции рассматриваются как своего рода «катализаторы» эффектов профессиональной деятельности. </w:t>
      </w:r>
    </w:p>
    <w:p w:rsidR="003F68E2" w:rsidRPr="003F68E2" w:rsidRDefault="003F68E2" w:rsidP="003F68E2">
      <w:pPr>
        <w:rPr>
          <w:rFonts w:ascii="Times New Roman" w:hAnsi="Times New Roman" w:cs="Times New Roman"/>
          <w:sz w:val="28"/>
          <w:szCs w:val="28"/>
        </w:rPr>
      </w:pPr>
      <w:r w:rsidRPr="003F68E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F68E2">
        <w:rPr>
          <w:rFonts w:ascii="Times New Roman" w:hAnsi="Times New Roman" w:cs="Times New Roman"/>
          <w:i/>
          <w:sz w:val="28"/>
          <w:szCs w:val="28"/>
        </w:rPr>
        <w:t>Бинарность</w:t>
      </w:r>
      <w:proofErr w:type="spellEnd"/>
      <w:r w:rsidRPr="003F68E2">
        <w:rPr>
          <w:rFonts w:ascii="Times New Roman" w:hAnsi="Times New Roman" w:cs="Times New Roman"/>
          <w:i/>
          <w:sz w:val="28"/>
          <w:szCs w:val="28"/>
        </w:rPr>
        <w:t xml:space="preserve"> оценки</w:t>
      </w:r>
      <w:r w:rsidRPr="003F68E2">
        <w:rPr>
          <w:rFonts w:ascii="Times New Roman" w:hAnsi="Times New Roman" w:cs="Times New Roman"/>
          <w:sz w:val="28"/>
          <w:szCs w:val="28"/>
        </w:rPr>
        <w:t>. Подведение итогов проверки наличия компетенций предполагает дуальную оценку. Привычные оценочные шкалы, традиционные пятерки, четверки и тройки, применяемые для оценки умений и знаний, в ситуации оценки квалификации и компетенций бессмысленны. Если действия испытуемого не соответствуют установленным нормам в полной мере, то признание наличия у него квалификации невозможно.</w:t>
      </w:r>
    </w:p>
    <w:p w:rsidR="003F68E2" w:rsidRPr="003F68E2" w:rsidRDefault="003F68E2">
      <w:pPr>
        <w:rPr>
          <w:rFonts w:ascii="Times New Roman" w:hAnsi="Times New Roman" w:cs="Times New Roman"/>
          <w:sz w:val="28"/>
          <w:szCs w:val="28"/>
        </w:rPr>
      </w:pPr>
    </w:p>
    <w:sectPr w:rsidR="003F68E2" w:rsidRPr="003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A7"/>
    <w:rsid w:val="00121ECB"/>
    <w:rsid w:val="001637FC"/>
    <w:rsid w:val="003F68E2"/>
    <w:rsid w:val="00B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E85C3-401E-4E7C-B917-F0F15FBC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850</Words>
  <Characters>4849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2021-05-08T04:49:00Z</dcterms:created>
  <dcterms:modified xsi:type="dcterms:W3CDTF">2021-05-08T13:04:00Z</dcterms:modified>
</cp:coreProperties>
</file>